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0F8" w14:textId="77777777" w:rsidR="00FA0160" w:rsidRDefault="00FA0160">
      <w:pPr>
        <w:pStyle w:val="Textoindependiente"/>
        <w:spacing w:before="10"/>
        <w:rPr>
          <w:rFonts w:ascii="Times New Roman"/>
          <w:sz w:val="4"/>
        </w:rPr>
      </w:pPr>
    </w:p>
    <w:p w14:paraId="393C7182" w14:textId="35BF952F" w:rsidR="00FA0160" w:rsidRDefault="00FA0160">
      <w:pPr>
        <w:pStyle w:val="Textoindependiente"/>
        <w:spacing w:line="20" w:lineRule="exact"/>
        <w:ind w:left="105"/>
        <w:rPr>
          <w:rFonts w:ascii="Times New Roman"/>
          <w:sz w:val="2"/>
        </w:rPr>
      </w:pPr>
    </w:p>
    <w:p w14:paraId="5EDB5088" w14:textId="44868AB3" w:rsidR="00FA0160" w:rsidRDefault="00E56087" w:rsidP="00E56087">
      <w:pPr>
        <w:spacing w:before="29"/>
        <w:ind w:left="20"/>
        <w:rPr>
          <w:b/>
          <w:sz w:val="32"/>
        </w:rPr>
      </w:pPr>
      <w:r>
        <w:rPr>
          <w:b/>
          <w:sz w:val="32"/>
        </w:rPr>
        <w:t>The ATM launches a campaign to consolidate the T-</w:t>
      </w:r>
      <w:proofErr w:type="spellStart"/>
      <w:r>
        <w:rPr>
          <w:b/>
          <w:sz w:val="32"/>
        </w:rPr>
        <w:t>jove</w:t>
      </w:r>
      <w:proofErr w:type="spellEnd"/>
      <w:r>
        <w:rPr>
          <w:b/>
          <w:sz w:val="32"/>
        </w:rPr>
        <w:t xml:space="preserve"> cards and passes in</w:t>
      </w:r>
      <w:r>
        <w:rPr>
          <w:b/>
          <w:sz w:val="32"/>
        </w:rPr>
        <w:t xml:space="preserve"> </w:t>
      </w:r>
      <w:r>
        <w:rPr>
          <w:b/>
          <w:sz w:val="32"/>
        </w:rPr>
        <w:t>T-</w:t>
      </w:r>
      <w:proofErr w:type="spellStart"/>
      <w:r>
        <w:rPr>
          <w:b/>
          <w:sz w:val="32"/>
        </w:rPr>
        <w:t>mobilitat</w:t>
      </w:r>
      <w:proofErr w:type="spellEnd"/>
    </w:p>
    <w:p w14:paraId="42BB56EA" w14:textId="027E8E73" w:rsidR="00E56087" w:rsidRPr="00E56087" w:rsidRDefault="00E56087" w:rsidP="00E56087">
      <w:pPr>
        <w:spacing w:line="345" w:lineRule="exact"/>
        <w:ind w:left="20"/>
        <w:rPr>
          <w:b/>
          <w:sz w:val="32"/>
        </w:rPr>
      </w:pPr>
      <w:r>
        <w:rPr>
          <w:rFonts w:ascii="Times New Roman"/>
          <w:sz w:val="2"/>
        </w:rPr>
      </w:r>
      <w:r>
        <w:rPr>
          <w:rFonts w:ascii="Times New Roman"/>
          <w:sz w:val="2"/>
        </w:rPr>
        <w:pict w14:anchorId="30E5FF44">
          <v:group id="_x0000_s1030" style="width:428.15pt;height:.75pt;mso-position-horizontal-relative:char;mso-position-vertical-relative:line" coordsize="8563,15">
            <v:line id="_x0000_s1031" style="position:absolute" from="0,7" to="8562,7" strokeweight=".72pt"/>
            <w10:anchorlock/>
          </v:group>
        </w:pict>
      </w:r>
    </w:p>
    <w:p w14:paraId="1EAD561D" w14:textId="77777777" w:rsidR="00FA0160" w:rsidRDefault="0054261A">
      <w:pPr>
        <w:pStyle w:val="Ttulo1"/>
        <w:numPr>
          <w:ilvl w:val="0"/>
          <w:numId w:val="1"/>
        </w:numPr>
        <w:tabs>
          <w:tab w:val="left" w:pos="849"/>
          <w:tab w:val="left" w:pos="850"/>
        </w:tabs>
        <w:spacing w:before="101" w:line="259" w:lineRule="auto"/>
        <w:ind w:left="861" w:right="233" w:hanging="360"/>
      </w:pPr>
      <w:r>
        <w:t>The penetration of this card in the T-</w:t>
      </w:r>
      <w:proofErr w:type="spellStart"/>
      <w:r>
        <w:t>mobilitat</w:t>
      </w:r>
      <w:proofErr w:type="spellEnd"/>
      <w:r>
        <w:t xml:space="preserve"> system exceeds 95%; that is, only 5% of the validations carried out with T-</w:t>
      </w:r>
      <w:proofErr w:type="spellStart"/>
      <w:r>
        <w:t>jove</w:t>
      </w:r>
      <w:proofErr w:type="spellEnd"/>
      <w:r>
        <w:t xml:space="preserve"> are still done with magnetic cards.</w:t>
      </w:r>
    </w:p>
    <w:p w14:paraId="7ACD4ECE" w14:textId="77777777" w:rsidR="00FA0160" w:rsidRDefault="00FA0160">
      <w:pPr>
        <w:pStyle w:val="Textoindependiente"/>
        <w:spacing w:before="9"/>
        <w:rPr>
          <w:b/>
          <w:sz w:val="23"/>
        </w:rPr>
      </w:pPr>
    </w:p>
    <w:p w14:paraId="31551E7C" w14:textId="77777777" w:rsidR="00FA0160" w:rsidRDefault="0054261A">
      <w:pPr>
        <w:pStyle w:val="Prrafodelista"/>
        <w:numPr>
          <w:ilvl w:val="0"/>
          <w:numId w:val="1"/>
        </w:numPr>
        <w:tabs>
          <w:tab w:val="left" w:pos="849"/>
          <w:tab w:val="left" w:pos="850"/>
        </w:tabs>
        <w:spacing w:line="256" w:lineRule="auto"/>
        <w:ind w:left="861" w:right="271" w:hanging="360"/>
        <w:rPr>
          <w:b/>
        </w:rPr>
      </w:pPr>
      <w:r>
        <w:rPr>
          <w:b/>
        </w:rPr>
        <w:t>The aim of the campaign is for young people who have not yet switched to the system to make the transition before they go back to school in September</w:t>
      </w:r>
    </w:p>
    <w:p w14:paraId="297F5962" w14:textId="77777777" w:rsidR="00FA0160" w:rsidRDefault="00FA0160">
      <w:pPr>
        <w:pStyle w:val="Textoindependiente"/>
        <w:spacing w:before="2"/>
        <w:rPr>
          <w:b/>
          <w:sz w:val="24"/>
        </w:rPr>
      </w:pPr>
    </w:p>
    <w:p w14:paraId="1594D261" w14:textId="77777777" w:rsidR="00FA0160" w:rsidRDefault="0054261A">
      <w:pPr>
        <w:pStyle w:val="Prrafodelista"/>
        <w:numPr>
          <w:ilvl w:val="0"/>
          <w:numId w:val="1"/>
        </w:numPr>
        <w:tabs>
          <w:tab w:val="left" w:pos="849"/>
          <w:tab w:val="left" w:pos="850"/>
        </w:tabs>
        <w:spacing w:line="259" w:lineRule="auto"/>
        <w:ind w:left="861" w:hanging="360"/>
        <w:rPr>
          <w:b/>
        </w:rPr>
      </w:pPr>
      <w:r>
        <w:rPr>
          <w:b/>
        </w:rPr>
        <w:t>The pass for young people was no longer sold in March in magnetic format and, since then, it can only be purchased through the new T-</w:t>
      </w:r>
      <w:proofErr w:type="spellStart"/>
      <w:r>
        <w:rPr>
          <w:b/>
        </w:rPr>
        <w:t>mobilitat</w:t>
      </w:r>
      <w:proofErr w:type="spellEnd"/>
      <w:r>
        <w:rPr>
          <w:b/>
        </w:rPr>
        <w:t xml:space="preserve"> system, either on the personalised card or on mobile phones (Android).</w:t>
      </w:r>
    </w:p>
    <w:p w14:paraId="09579B8C" w14:textId="77777777" w:rsidR="00FA0160" w:rsidRDefault="00FA0160">
      <w:pPr>
        <w:pStyle w:val="Textoindependiente"/>
        <w:rPr>
          <w:b/>
        </w:rPr>
      </w:pPr>
    </w:p>
    <w:p w14:paraId="00F70834" w14:textId="77777777" w:rsidR="00FA0160" w:rsidRDefault="0054261A">
      <w:pPr>
        <w:pStyle w:val="Textoindependiente"/>
        <w:spacing w:before="179" w:line="259" w:lineRule="auto"/>
        <w:ind w:left="142" w:right="133"/>
        <w:jc w:val="both"/>
      </w:pPr>
      <w:r>
        <w:rPr>
          <w:i/>
        </w:rPr>
        <w:t xml:space="preserve">Barcelona, 21 August.- </w:t>
      </w:r>
      <w:r>
        <w:t xml:space="preserve">The Barcelona ATM is running a </w:t>
      </w:r>
      <w:hyperlink r:id="rId7">
        <w:r>
          <w:rPr>
            <w:b/>
            <w:color w:val="0562C1"/>
            <w:u w:val="single" w:color="0562C1"/>
          </w:rPr>
          <w:t>communication campaign</w:t>
        </w:r>
        <w:r>
          <w:rPr>
            <w:b/>
            <w:color w:val="0562C1"/>
          </w:rPr>
          <w:t xml:space="preserve"> </w:t>
        </w:r>
      </w:hyperlink>
      <w:r>
        <w:t>in order to consolidate all T-</w:t>
      </w:r>
      <w:proofErr w:type="spellStart"/>
      <w:r>
        <w:t>jove</w:t>
      </w:r>
      <w:proofErr w:type="spellEnd"/>
      <w:r>
        <w:t xml:space="preserve"> validations in the system with T-</w:t>
      </w:r>
      <w:proofErr w:type="spellStart"/>
      <w:r>
        <w:t>mobilitat</w:t>
      </w:r>
      <w:proofErr w:type="spellEnd"/>
      <w:r>
        <w:t xml:space="preserve">, after the sale of this pass in cardboard and magnetic strip format stopped in March. Although the penetration rate of this card already </w:t>
      </w:r>
      <w:r>
        <w:rPr>
          <w:b/>
        </w:rPr>
        <w:t xml:space="preserve">exceeds 95% of daily validations </w:t>
      </w:r>
      <w:r>
        <w:t>with the new system, 5% of daily T-</w:t>
      </w:r>
      <w:proofErr w:type="spellStart"/>
      <w:r>
        <w:t>jove</w:t>
      </w:r>
      <w:proofErr w:type="spellEnd"/>
      <w:r>
        <w:t xml:space="preserve"> trips are still made with the magnetic card system. So, in order to promote the full transition of this card to T-</w:t>
      </w:r>
      <w:proofErr w:type="spellStart"/>
      <w:r>
        <w:t>mobilitat</w:t>
      </w:r>
      <w:proofErr w:type="spellEnd"/>
      <w:r>
        <w:t>, the ATM is deploying this information campaign through digital channels aimed at young beneficiaries of this pass so that they will make the final change to the new system.</w:t>
      </w:r>
    </w:p>
    <w:p w14:paraId="20026B2A" w14:textId="77777777" w:rsidR="00FA0160" w:rsidRDefault="0054261A">
      <w:pPr>
        <w:pStyle w:val="Textoindependiente"/>
        <w:spacing w:before="159" w:line="259" w:lineRule="auto"/>
        <w:ind w:left="142" w:right="133"/>
        <w:jc w:val="both"/>
      </w:pPr>
      <w:r>
        <w:t>As the month of September is a month of upswing in the demand for this card due to the return to activity, one of the goals of the campaign is to contribute to raising awareness among young people who are going back to college or work so that they register with T-</w:t>
      </w:r>
      <w:proofErr w:type="spellStart"/>
      <w:r>
        <w:t>mobilitat</w:t>
      </w:r>
      <w:proofErr w:type="spellEnd"/>
      <w:r>
        <w:t xml:space="preserve"> through digital channels and request their card sufficiently in advance.</w:t>
      </w:r>
    </w:p>
    <w:p w14:paraId="17D5ED8C" w14:textId="77777777" w:rsidR="00FA0160" w:rsidRDefault="0054261A">
      <w:pPr>
        <w:pStyle w:val="Textoindependiente"/>
        <w:spacing w:before="160" w:line="259" w:lineRule="auto"/>
        <w:ind w:left="142" w:right="132"/>
        <w:jc w:val="both"/>
      </w:pPr>
      <w:r>
        <w:t xml:space="preserve">It is </w:t>
      </w:r>
      <w:r w:rsidRPr="0054261A">
        <w:rPr>
          <w:b/>
          <w:bCs/>
        </w:rPr>
        <w:t>recommended to</w:t>
      </w:r>
      <w:r>
        <w:t xml:space="preserve"> </w:t>
      </w:r>
      <w:r>
        <w:rPr>
          <w:b/>
        </w:rPr>
        <w:t>register electronically</w:t>
      </w:r>
      <w:r>
        <w:t xml:space="preserve"> on one of the three available platforms: </w:t>
      </w:r>
      <w:hyperlink r:id="rId8">
        <w:r>
          <w:rPr>
            <w:color w:val="0562C1"/>
            <w:u w:val="single" w:color="0562C1"/>
          </w:rPr>
          <w:t>T-</w:t>
        </w:r>
        <w:proofErr w:type="spellStart"/>
        <w:r>
          <w:rPr>
            <w:color w:val="0562C1"/>
            <w:u w:val="single" w:color="0562C1"/>
          </w:rPr>
          <w:t>mobilitat</w:t>
        </w:r>
        <w:proofErr w:type="spellEnd"/>
        <w:r>
          <w:t xml:space="preserve">, </w:t>
        </w:r>
      </w:hyperlink>
      <w:hyperlink r:id="rId9">
        <w:r>
          <w:rPr>
            <w:color w:val="0562C1"/>
            <w:u w:val="single" w:color="0562C1"/>
          </w:rPr>
          <w:t>TMB</w:t>
        </w:r>
        <w:r>
          <w:rPr>
            <w:color w:val="0562C1"/>
          </w:rPr>
          <w:t xml:space="preserve"> </w:t>
        </w:r>
      </w:hyperlink>
      <w:r>
        <w:t xml:space="preserve">and </w:t>
      </w:r>
      <w:hyperlink r:id="rId10">
        <w:r>
          <w:rPr>
            <w:color w:val="0562C1"/>
            <w:u w:val="single" w:color="0562C1"/>
          </w:rPr>
          <w:t>FGC</w:t>
        </w:r>
        <w:r>
          <w:t xml:space="preserve">, </w:t>
        </w:r>
      </w:hyperlink>
      <w:r>
        <w:t xml:space="preserve">if purchasing a physical card that can be topped up, which, once requested, will be received at the address indicated within 5 to 10 days. If opting for validation with an Android mobile phone with NFC, the availability of the card will be immediate through the </w:t>
      </w:r>
      <w:r>
        <w:rPr>
          <w:b/>
        </w:rPr>
        <w:t xml:space="preserve">applications </w:t>
      </w:r>
      <w:hyperlink r:id="rId11">
        <w:r>
          <w:rPr>
            <w:color w:val="0562C1"/>
            <w:u w:val="single" w:color="0562C1"/>
          </w:rPr>
          <w:t>T-</w:t>
        </w:r>
        <w:proofErr w:type="spellStart"/>
        <w:r>
          <w:rPr>
            <w:color w:val="0562C1"/>
            <w:u w:val="single" w:color="0562C1"/>
          </w:rPr>
          <w:t>mobilitat</w:t>
        </w:r>
        <w:proofErr w:type="spellEnd"/>
        <w:r>
          <w:t xml:space="preserve">, </w:t>
        </w:r>
      </w:hyperlink>
      <w:hyperlink r:id="rId12">
        <w:r>
          <w:rPr>
            <w:color w:val="0562C1"/>
            <w:u w:val="single" w:color="0562C1"/>
          </w:rPr>
          <w:t>TMB App</w:t>
        </w:r>
        <w:r>
          <w:rPr>
            <w:color w:val="0562C1"/>
          </w:rPr>
          <w:t xml:space="preserve"> </w:t>
        </w:r>
      </w:hyperlink>
      <w:r>
        <w:t xml:space="preserve">and </w:t>
      </w:r>
      <w:hyperlink r:id="rId13">
        <w:r>
          <w:rPr>
            <w:color w:val="0562C1"/>
            <w:u w:val="single" w:color="0562C1"/>
          </w:rPr>
          <w:t>FGC T-mobility</w:t>
        </w:r>
      </w:hyperlink>
      <w:r>
        <w:t>.</w:t>
      </w:r>
    </w:p>
    <w:p w14:paraId="0506D730" w14:textId="77777777" w:rsidR="00FA0160" w:rsidRDefault="00FA0160">
      <w:pPr>
        <w:pStyle w:val="Textoindependiente"/>
        <w:spacing w:before="4"/>
        <w:rPr>
          <w:sz w:val="8"/>
        </w:rPr>
      </w:pPr>
    </w:p>
    <w:p w14:paraId="7279F48F" w14:textId="77777777" w:rsidR="00FA0160" w:rsidRDefault="0054261A">
      <w:pPr>
        <w:spacing w:before="56"/>
        <w:ind w:left="142"/>
        <w:jc w:val="both"/>
        <w:rPr>
          <w:b/>
        </w:rPr>
      </w:pPr>
      <w:r>
        <w:t xml:space="preserve">The campaign, with the slogan 'Don't you have it yet?', will be active from </w:t>
      </w:r>
      <w:r>
        <w:rPr>
          <w:b/>
          <w:bCs/>
        </w:rPr>
        <w:t>28</w:t>
      </w:r>
      <w:r>
        <w:t xml:space="preserve"> </w:t>
      </w:r>
      <w:r>
        <w:rPr>
          <w:b/>
        </w:rPr>
        <w:t>August to 11 September.</w:t>
      </w:r>
    </w:p>
    <w:p w14:paraId="4BA80946" w14:textId="77777777" w:rsidR="00FA0160" w:rsidRDefault="00FA0160">
      <w:pPr>
        <w:pStyle w:val="Textoindependiente"/>
        <w:spacing w:before="7"/>
        <w:rPr>
          <w:b/>
          <w:sz w:val="25"/>
        </w:rPr>
      </w:pPr>
    </w:p>
    <w:p w14:paraId="08789348" w14:textId="77777777" w:rsidR="00FA0160" w:rsidRDefault="0054261A">
      <w:pPr>
        <w:pStyle w:val="Ttulo1"/>
        <w:ind w:left="142" w:firstLine="0"/>
        <w:jc w:val="both"/>
      </w:pPr>
      <w:r>
        <w:t>T-</w:t>
      </w:r>
      <w:proofErr w:type="spellStart"/>
      <w:r>
        <w:t>jove</w:t>
      </w:r>
      <w:proofErr w:type="spellEnd"/>
      <w:r>
        <w:t>, only with T-</w:t>
      </w:r>
      <w:proofErr w:type="spellStart"/>
      <w:r>
        <w:t>mobilitat</w:t>
      </w:r>
      <w:proofErr w:type="spellEnd"/>
      <w:r>
        <w:t xml:space="preserve"> and up to the age of 30</w:t>
      </w:r>
    </w:p>
    <w:p w14:paraId="14B6E443" w14:textId="77777777" w:rsidR="00FA0160" w:rsidRDefault="0054261A">
      <w:pPr>
        <w:spacing w:before="181" w:line="259" w:lineRule="auto"/>
        <w:ind w:left="142" w:right="135"/>
        <w:jc w:val="both"/>
      </w:pPr>
      <w:r>
        <w:t xml:space="preserve">Since last March, the young beneficiaries of this social travel card can avail of it </w:t>
      </w:r>
      <w:r>
        <w:rPr>
          <w:b/>
        </w:rPr>
        <w:t>until they reach the age of 30</w:t>
      </w:r>
      <w:r>
        <w:t xml:space="preserve">. In addition, </w:t>
      </w:r>
      <w:r>
        <w:rPr>
          <w:b/>
          <w:bCs/>
        </w:rPr>
        <w:t>the price of the six price zones has been</w:t>
      </w:r>
      <w:r>
        <w:t xml:space="preserve"> </w:t>
      </w:r>
      <w:r>
        <w:rPr>
          <w:b/>
        </w:rPr>
        <w:t xml:space="preserve">unified. </w:t>
      </w:r>
      <w:r>
        <w:t>The T-</w:t>
      </w:r>
      <w:proofErr w:type="spellStart"/>
      <w:r>
        <w:t>jove</w:t>
      </w:r>
      <w:proofErr w:type="spellEnd"/>
      <w:r>
        <w:t>, as a personal and non-transferable card, allows an unlimited number of integrated trips in 90 consecutive days.</w:t>
      </w:r>
    </w:p>
    <w:p w14:paraId="475F8D2B" w14:textId="77777777" w:rsidR="00FA0160" w:rsidRDefault="00FA0160">
      <w:pPr>
        <w:spacing w:line="259" w:lineRule="auto"/>
        <w:jc w:val="both"/>
        <w:sectPr w:rsidR="00FA0160">
          <w:headerReference w:type="default" r:id="rId14"/>
          <w:footerReference w:type="default" r:id="rId15"/>
          <w:type w:val="continuous"/>
          <w:pgSz w:w="11910" w:h="16840"/>
          <w:pgMar w:top="2860" w:right="1560" w:bottom="520" w:left="1560" w:header="773" w:footer="333" w:gutter="0"/>
          <w:cols w:space="720"/>
        </w:sectPr>
      </w:pPr>
    </w:p>
    <w:p w14:paraId="2A0B5D33" w14:textId="77777777" w:rsidR="00483025" w:rsidRDefault="00483025" w:rsidP="00483025">
      <w:pPr>
        <w:spacing w:line="245" w:lineRule="exact"/>
        <w:ind w:left="142"/>
        <w:rPr>
          <w:b/>
        </w:rPr>
      </w:pPr>
      <w:r>
        <w:rPr>
          <w:b/>
        </w:rPr>
        <w:lastRenderedPageBreak/>
        <w:t>Old T-</w:t>
      </w:r>
      <w:proofErr w:type="spellStart"/>
      <w:r>
        <w:rPr>
          <w:b/>
        </w:rPr>
        <w:t>jove</w:t>
      </w:r>
      <w:proofErr w:type="spellEnd"/>
      <w:r>
        <w:rPr>
          <w:b/>
        </w:rPr>
        <w:t xml:space="preserve"> cards can still be validated in the system</w:t>
      </w:r>
    </w:p>
    <w:p w14:paraId="4C747077" w14:textId="77777777" w:rsidR="00483025" w:rsidRDefault="00483025" w:rsidP="00483025">
      <w:pPr>
        <w:pStyle w:val="Textoindependiente"/>
        <w:spacing w:line="245" w:lineRule="exact"/>
        <w:ind w:left="142"/>
      </w:pPr>
    </w:p>
    <w:p w14:paraId="37B7989E" w14:textId="60941D7F" w:rsidR="00FA0160" w:rsidRDefault="00483025" w:rsidP="00483025">
      <w:pPr>
        <w:pStyle w:val="Textoindependiente"/>
        <w:spacing w:line="245" w:lineRule="exact"/>
        <w:ind w:left="142"/>
      </w:pPr>
      <w:r>
        <w:t>Despite the fact that this pass is offered exclusively in the form of T-</w:t>
      </w:r>
      <w:proofErr w:type="spellStart"/>
      <w:r>
        <w:t>mobilitat</w:t>
      </w:r>
      <w:proofErr w:type="spellEnd"/>
      <w:r>
        <w:t xml:space="preserve"> cards, </w:t>
      </w:r>
      <w:r w:rsidR="0054261A">
        <w:t>Old T-</w:t>
      </w:r>
      <w:proofErr w:type="spellStart"/>
      <w:r w:rsidR="0054261A">
        <w:t>jove</w:t>
      </w:r>
      <w:proofErr w:type="spellEnd"/>
      <w:r w:rsidR="0054261A">
        <w:t xml:space="preserve"> cards (cardboard ones with magnetic strip technology) </w:t>
      </w:r>
      <w:r w:rsidR="0054261A" w:rsidRPr="0054261A">
        <w:rPr>
          <w:b/>
          <w:bCs/>
        </w:rPr>
        <w:t>can still be validated in the public transport system as normal until the 90-day validity period expires</w:t>
      </w:r>
      <w:r w:rsidR="0054261A">
        <w:t>. They will expire just like all integrated passes. In this case, T-</w:t>
      </w:r>
      <w:proofErr w:type="spellStart"/>
      <w:r w:rsidR="0054261A">
        <w:t>jove</w:t>
      </w:r>
      <w:proofErr w:type="spellEnd"/>
      <w:r w:rsidR="0054261A">
        <w:t xml:space="preserve"> passes purchased in both 2022 and 2023 will be valid until 15th January 2024.</w:t>
      </w:r>
    </w:p>
    <w:p w14:paraId="1966B1C1" w14:textId="77777777" w:rsidR="00FA0160" w:rsidRDefault="0054261A">
      <w:pPr>
        <w:pStyle w:val="Textoindependiente"/>
        <w:spacing w:before="160" w:line="259" w:lineRule="auto"/>
        <w:ind w:left="142" w:right="135"/>
        <w:jc w:val="both"/>
      </w:pPr>
      <w:r>
        <w:t xml:space="preserve">At present, practically the entire range of integrated passes of the Barcelona ATM can be used with the new contactless system. All that remains is the integration of the </w:t>
      </w:r>
      <w:r>
        <w:rPr>
          <w:b/>
        </w:rPr>
        <w:t>T-usual for the unemployed</w:t>
      </w:r>
      <w:r>
        <w:t xml:space="preserve">, the </w:t>
      </w:r>
      <w:r>
        <w:rPr>
          <w:b/>
        </w:rPr>
        <w:t>T-</w:t>
      </w:r>
      <w:proofErr w:type="spellStart"/>
      <w:r>
        <w:rPr>
          <w:b/>
        </w:rPr>
        <w:t>verda</w:t>
      </w:r>
      <w:proofErr w:type="spellEnd"/>
      <w:r>
        <w:t xml:space="preserve"> and the </w:t>
      </w:r>
      <w:r>
        <w:rPr>
          <w:b/>
        </w:rPr>
        <w:t>T-</w:t>
      </w:r>
      <w:proofErr w:type="spellStart"/>
      <w:r>
        <w:rPr>
          <w:b/>
        </w:rPr>
        <w:t>dia</w:t>
      </w:r>
      <w:proofErr w:type="spellEnd"/>
      <w:r>
        <w:rPr>
          <w:b/>
        </w:rPr>
        <w:t xml:space="preserve">, </w:t>
      </w:r>
      <w:r>
        <w:t>which will join in the coming months.</w:t>
      </w:r>
    </w:p>
    <w:p w14:paraId="13BDF01D" w14:textId="77777777" w:rsidR="00FA0160" w:rsidRDefault="00FA0160">
      <w:pPr>
        <w:pStyle w:val="Textoindependiente"/>
      </w:pPr>
    </w:p>
    <w:p w14:paraId="78B14872" w14:textId="77777777" w:rsidR="00FA0160" w:rsidRDefault="0054261A">
      <w:pPr>
        <w:pStyle w:val="Ttulo1"/>
        <w:spacing w:before="180"/>
        <w:ind w:left="142" w:firstLine="0"/>
        <w:jc w:val="both"/>
      </w:pPr>
      <w:r>
        <w:t xml:space="preserve">Link to the campaign: </w:t>
      </w:r>
      <w:hyperlink r:id="rId16">
        <w:r>
          <w:rPr>
            <w:color w:val="0462C1"/>
            <w:u w:val="single" w:color="0462C1"/>
          </w:rPr>
          <w:t>Don't have it yet?</w:t>
        </w:r>
      </w:hyperlink>
    </w:p>
    <w:sectPr w:rsidR="00FA0160">
      <w:headerReference w:type="default" r:id="rId17"/>
      <w:footerReference w:type="default" r:id="rId18"/>
      <w:pgSz w:w="11910" w:h="16840"/>
      <w:pgMar w:top="2780" w:right="1560" w:bottom="520" w:left="1560" w:header="773"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27E4" w14:textId="77777777" w:rsidR="0054261A" w:rsidRDefault="0054261A">
      <w:r>
        <w:separator/>
      </w:r>
    </w:p>
  </w:endnote>
  <w:endnote w:type="continuationSeparator" w:id="0">
    <w:p w14:paraId="5A32010F" w14:textId="77777777" w:rsidR="0054261A" w:rsidRDefault="0054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DFEA" w14:textId="77777777" w:rsidR="00FA0160" w:rsidRDefault="0054261A">
    <w:pPr>
      <w:pStyle w:val="Textoindependiente"/>
      <w:spacing w:line="14" w:lineRule="auto"/>
      <w:rPr>
        <w:sz w:val="20"/>
      </w:rPr>
    </w:pPr>
    <w:r>
      <w:rPr>
        <w:noProof/>
      </w:rPr>
      <w:drawing>
        <wp:anchor distT="0" distB="0" distL="0" distR="0" simplePos="0" relativeHeight="251656704" behindDoc="1" locked="0" layoutInCell="1" allowOverlap="1" wp14:anchorId="131C14E4" wp14:editId="375A2DEB">
          <wp:simplePos x="0" y="0"/>
          <wp:positionH relativeFrom="page">
            <wp:posOffset>169089</wp:posOffset>
          </wp:positionH>
          <wp:positionV relativeFrom="page">
            <wp:posOffset>10353971</wp:posOffset>
          </wp:positionV>
          <wp:extent cx="7051491" cy="2149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051491" cy="21493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EDA2" w14:textId="77777777" w:rsidR="00FA0160" w:rsidRDefault="0054261A">
    <w:pPr>
      <w:pStyle w:val="Textoindependiente"/>
      <w:spacing w:line="14" w:lineRule="auto"/>
      <w:rPr>
        <w:sz w:val="20"/>
      </w:rPr>
    </w:pPr>
    <w:r>
      <w:rPr>
        <w:noProof/>
      </w:rPr>
      <w:drawing>
        <wp:anchor distT="0" distB="0" distL="0" distR="0" simplePos="0" relativeHeight="251658752" behindDoc="1" locked="0" layoutInCell="1" allowOverlap="1" wp14:anchorId="41ED81B7" wp14:editId="4F9619CE">
          <wp:simplePos x="0" y="0"/>
          <wp:positionH relativeFrom="page">
            <wp:posOffset>169089</wp:posOffset>
          </wp:positionH>
          <wp:positionV relativeFrom="page">
            <wp:posOffset>10353970</wp:posOffset>
          </wp:positionV>
          <wp:extent cx="7051491" cy="2149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051491" cy="2149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C151" w14:textId="77777777" w:rsidR="0054261A" w:rsidRDefault="0054261A">
      <w:r>
        <w:separator/>
      </w:r>
    </w:p>
  </w:footnote>
  <w:footnote w:type="continuationSeparator" w:id="0">
    <w:p w14:paraId="40DC1A40" w14:textId="77777777" w:rsidR="0054261A" w:rsidRDefault="0054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C374" w14:textId="1FB16A4B" w:rsidR="00FA0160" w:rsidRDefault="0054261A">
    <w:pPr>
      <w:pStyle w:val="Textoindependiente"/>
      <w:spacing w:line="14" w:lineRule="auto"/>
      <w:rPr>
        <w:sz w:val="20"/>
      </w:rPr>
    </w:pPr>
    <w:r>
      <w:rPr>
        <w:noProof/>
      </w:rPr>
      <w:drawing>
        <wp:anchor distT="0" distB="0" distL="0" distR="0" simplePos="0" relativeHeight="251655680" behindDoc="1" locked="0" layoutInCell="1" allowOverlap="1" wp14:anchorId="32D36556" wp14:editId="72E369A8">
          <wp:simplePos x="0" y="0"/>
          <wp:positionH relativeFrom="page">
            <wp:posOffset>1094493</wp:posOffset>
          </wp:positionH>
          <wp:positionV relativeFrom="page">
            <wp:posOffset>490833</wp:posOffset>
          </wp:positionV>
          <wp:extent cx="5356834" cy="6096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56834" cy="6096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1545" w14:textId="2CF9ADD3" w:rsidR="00FA0160" w:rsidRDefault="0054261A">
    <w:pPr>
      <w:pStyle w:val="Textoindependiente"/>
      <w:spacing w:line="14" w:lineRule="auto"/>
      <w:rPr>
        <w:sz w:val="20"/>
      </w:rPr>
    </w:pPr>
    <w:r>
      <w:rPr>
        <w:noProof/>
      </w:rPr>
      <w:drawing>
        <wp:anchor distT="0" distB="0" distL="0" distR="0" simplePos="0" relativeHeight="251657728" behindDoc="1" locked="0" layoutInCell="1" allowOverlap="1" wp14:anchorId="19A067F7" wp14:editId="39C12F2B">
          <wp:simplePos x="0" y="0"/>
          <wp:positionH relativeFrom="page">
            <wp:posOffset>1094493</wp:posOffset>
          </wp:positionH>
          <wp:positionV relativeFrom="page">
            <wp:posOffset>490833</wp:posOffset>
          </wp:positionV>
          <wp:extent cx="5356834" cy="60964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356834" cy="6096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31A80"/>
    <w:multiLevelType w:val="hybridMultilevel"/>
    <w:tmpl w:val="B95698B6"/>
    <w:lvl w:ilvl="0" w:tplc="06D0A342">
      <w:numFmt w:val="bullet"/>
      <w:lvlText w:val=""/>
      <w:lvlJc w:val="left"/>
      <w:pPr>
        <w:ind w:left="862" w:hanging="348"/>
      </w:pPr>
      <w:rPr>
        <w:rFonts w:ascii="Symbol" w:eastAsia="Symbol" w:hAnsi="Symbol" w:cs="Symbol" w:hint="default"/>
        <w:w w:val="100"/>
        <w:sz w:val="22"/>
        <w:szCs w:val="22"/>
        <w:lang w:val="es-ES" w:eastAsia="es-ES" w:bidi="es-ES"/>
      </w:rPr>
    </w:lvl>
    <w:lvl w:ilvl="1" w:tplc="90548788">
      <w:numFmt w:val="bullet"/>
      <w:lvlText w:val="•"/>
      <w:lvlJc w:val="left"/>
      <w:pPr>
        <w:ind w:left="1652" w:hanging="348"/>
      </w:pPr>
      <w:rPr>
        <w:rFonts w:hint="default"/>
        <w:lang w:val="es-ES" w:eastAsia="es-ES" w:bidi="es-ES"/>
      </w:rPr>
    </w:lvl>
    <w:lvl w:ilvl="2" w:tplc="FC9EC31A">
      <w:numFmt w:val="bullet"/>
      <w:lvlText w:val="•"/>
      <w:lvlJc w:val="left"/>
      <w:pPr>
        <w:ind w:left="2445" w:hanging="348"/>
      </w:pPr>
      <w:rPr>
        <w:rFonts w:hint="default"/>
        <w:lang w:val="es-ES" w:eastAsia="es-ES" w:bidi="es-ES"/>
      </w:rPr>
    </w:lvl>
    <w:lvl w:ilvl="3" w:tplc="63DEA688">
      <w:numFmt w:val="bullet"/>
      <w:lvlText w:val="•"/>
      <w:lvlJc w:val="left"/>
      <w:pPr>
        <w:ind w:left="3237" w:hanging="348"/>
      </w:pPr>
      <w:rPr>
        <w:rFonts w:hint="default"/>
        <w:lang w:val="es-ES" w:eastAsia="es-ES" w:bidi="es-ES"/>
      </w:rPr>
    </w:lvl>
    <w:lvl w:ilvl="4" w:tplc="27BE20F8">
      <w:numFmt w:val="bullet"/>
      <w:lvlText w:val="•"/>
      <w:lvlJc w:val="left"/>
      <w:pPr>
        <w:ind w:left="4030" w:hanging="348"/>
      </w:pPr>
      <w:rPr>
        <w:rFonts w:hint="default"/>
        <w:lang w:val="es-ES" w:eastAsia="es-ES" w:bidi="es-ES"/>
      </w:rPr>
    </w:lvl>
    <w:lvl w:ilvl="5" w:tplc="3C1AFFAE">
      <w:numFmt w:val="bullet"/>
      <w:lvlText w:val="•"/>
      <w:lvlJc w:val="left"/>
      <w:pPr>
        <w:ind w:left="4823" w:hanging="348"/>
      </w:pPr>
      <w:rPr>
        <w:rFonts w:hint="default"/>
        <w:lang w:val="es-ES" w:eastAsia="es-ES" w:bidi="es-ES"/>
      </w:rPr>
    </w:lvl>
    <w:lvl w:ilvl="6" w:tplc="69F45062">
      <w:numFmt w:val="bullet"/>
      <w:lvlText w:val="•"/>
      <w:lvlJc w:val="left"/>
      <w:pPr>
        <w:ind w:left="5615" w:hanging="348"/>
      </w:pPr>
      <w:rPr>
        <w:rFonts w:hint="default"/>
        <w:lang w:val="es-ES" w:eastAsia="es-ES" w:bidi="es-ES"/>
      </w:rPr>
    </w:lvl>
    <w:lvl w:ilvl="7" w:tplc="4D58B4F6">
      <w:numFmt w:val="bullet"/>
      <w:lvlText w:val="•"/>
      <w:lvlJc w:val="left"/>
      <w:pPr>
        <w:ind w:left="6408" w:hanging="348"/>
      </w:pPr>
      <w:rPr>
        <w:rFonts w:hint="default"/>
        <w:lang w:val="es-ES" w:eastAsia="es-ES" w:bidi="es-ES"/>
      </w:rPr>
    </w:lvl>
    <w:lvl w:ilvl="8" w:tplc="B7EC60F4">
      <w:numFmt w:val="bullet"/>
      <w:lvlText w:val="•"/>
      <w:lvlJc w:val="left"/>
      <w:pPr>
        <w:ind w:left="7201" w:hanging="348"/>
      </w:pPr>
      <w:rPr>
        <w:rFonts w:hint="default"/>
        <w:lang w:val="es-ES" w:eastAsia="es-ES" w:bidi="es-ES"/>
      </w:rPr>
    </w:lvl>
  </w:abstractNum>
  <w:num w:numId="1" w16cid:durableId="212595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A0160"/>
    <w:rsid w:val="00483025"/>
    <w:rsid w:val="0054261A"/>
    <w:rsid w:val="00E56087"/>
    <w:rsid w:val="00FA0160"/>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57DBE3"/>
  <w15:docId w15:val="{FA9A9A5E-119F-4F62-B42E-4ECE04B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es-ES" w:bidi="es-ES"/>
    </w:rPr>
  </w:style>
  <w:style w:type="paragraph" w:styleId="Ttulo1">
    <w:name w:val="heading 1"/>
    <w:basedOn w:val="Normal"/>
    <w:uiPriority w:val="9"/>
    <w:qFormat/>
    <w:pPr>
      <w:ind w:left="861"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1" w:right="14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83025"/>
    <w:pPr>
      <w:tabs>
        <w:tab w:val="center" w:pos="4252"/>
        <w:tab w:val="right" w:pos="8504"/>
      </w:tabs>
    </w:pPr>
  </w:style>
  <w:style w:type="character" w:customStyle="1" w:styleId="EncabezadoCar">
    <w:name w:val="Encabezado Car"/>
    <w:basedOn w:val="Fuentedeprrafopredeter"/>
    <w:link w:val="Encabezado"/>
    <w:uiPriority w:val="99"/>
    <w:rsid w:val="00483025"/>
    <w:rPr>
      <w:rFonts w:ascii="Calibri" w:eastAsia="Calibri" w:hAnsi="Calibri" w:cs="Calibri"/>
      <w:lang w:eastAsia="es-ES" w:bidi="es-ES"/>
    </w:rPr>
  </w:style>
  <w:style w:type="paragraph" w:styleId="Piedepgina">
    <w:name w:val="footer"/>
    <w:basedOn w:val="Normal"/>
    <w:link w:val="PiedepginaCar"/>
    <w:uiPriority w:val="99"/>
    <w:unhideWhenUsed/>
    <w:rsid w:val="00483025"/>
    <w:pPr>
      <w:tabs>
        <w:tab w:val="center" w:pos="4252"/>
        <w:tab w:val="right" w:pos="8504"/>
      </w:tabs>
    </w:pPr>
  </w:style>
  <w:style w:type="character" w:customStyle="1" w:styleId="PiedepginaCar">
    <w:name w:val="Pie de página Car"/>
    <w:basedOn w:val="Fuentedeprrafopredeter"/>
    <w:link w:val="Piedepgina"/>
    <w:uiPriority w:val="99"/>
    <w:rsid w:val="00483025"/>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PXXFTV" TargetMode="External"/><Relationship Id="rId13" Type="http://schemas.openxmlformats.org/officeDocument/2006/relationships/hyperlink" Target="https://www.fgc.cat/t-mobilit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tm.cat/ca/w/encara-no-la-tens-?p_l_back_url=/ca/comunicacio/campanyes" TargetMode="External"/><Relationship Id="rId12" Type="http://schemas.openxmlformats.org/officeDocument/2006/relationships/hyperlink" Target="https://www.tmb.cat/es/sobre-tmb/mejoras-red-transporte/t-mobilit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tm.cat/ca/w/encara-no-la-tens-?p_l_back_url=/ca/comunicacio/campany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at.atm.tmobilitat&amp;hl=ca&amp;gl=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gc.cat/t-mobilit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mb.cat/es/sobre-tmb/mejoras-red-transporte/t-mobilit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Torres Jiménez</dc:creator>
  <cp:lastModifiedBy>Alba Seguí</cp:lastModifiedBy>
  <cp:revision>4</cp:revision>
  <dcterms:created xsi:type="dcterms:W3CDTF">2023-08-22T10:32:00Z</dcterms:created>
  <dcterms:modified xsi:type="dcterms:W3CDTF">2023-08-23T11:08:00Z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Microsoft® Word para Microsoft 365</vt:lpwstr>
  </property>
  <property fmtid="{D5CDD505-2E9C-101B-9397-08002B2CF9AE}" pid="4" name="LastSaved">
    <vt:filetime>2023-08-22T00:00:00Z</vt:filetime>
  </property>
</Properties>
</file>